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B1" w:rsidRDefault="00E3583C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Антоновского сельского поселения Нижнеомского муниципального района Омской области </w:t>
      </w:r>
      <w:r w:rsid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 источник водоснабжения- </w:t>
      </w:r>
      <w:proofErr w:type="spellStart"/>
      <w:r w:rsid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="003B3FB1" w:rsidRP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3FB1" w:rsidRDefault="003B3FB1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3583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воды технического назначения </w:t>
      </w:r>
      <w:r w:rsidR="00E3583C" w:rsidRPr="00E35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r w:rsidR="00DD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proofErr w:type="spellStart"/>
      <w:r w:rsidR="00DD22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="00DD221A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="00DD221A">
        <w:rPr>
          <w:rFonts w:ascii="Times New Roman" w:eastAsia="Times New Roman" w:hAnsi="Times New Roman" w:cs="Times New Roman"/>
          <w:sz w:val="28"/>
          <w:szCs w:val="28"/>
          <w:lang w:eastAsia="ru-RU"/>
        </w:rPr>
        <w:t>мь</w:t>
      </w:r>
      <w:proofErr w:type="spellEnd"/>
      <w:r w:rsidR="00DD2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3583C" w:rsidRDefault="00DD221A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осуществляется с использованием централизованных систем водоснабжения.</w:t>
      </w:r>
    </w:p>
    <w:p w:rsidR="00DD221A" w:rsidRPr="00E3583C" w:rsidRDefault="00DD221A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с использованием нецентрализованных систем водоснабжения и подвоз воды отсутствует.</w:t>
      </w:r>
    </w:p>
    <w:p w:rsidR="00447DEB" w:rsidRPr="00447DEB" w:rsidRDefault="00447DEB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технической воды представляет собой совокупность определенных видов солей и минералов. Они содержатся в жидкости, взятой </w:t>
      </w:r>
      <w:proofErr w:type="gramStart"/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источниках в определенных количествах.</w:t>
      </w:r>
    </w:p>
    <w:p w:rsidR="00447DEB" w:rsidRPr="00447DEB" w:rsidRDefault="00447DEB" w:rsidP="00447DEB">
      <w:pPr>
        <w:shd w:val="clear" w:color="auto" w:fill="F5F7FA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состав такого вида воды входят: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Нитриты и нитраты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Сульфаты и хлориды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Фториды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Аммиак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Углекислота</w:t>
      </w:r>
    </w:p>
    <w:p w:rsidR="00447DEB" w:rsidRPr="00447DEB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Сероводород</w:t>
      </w:r>
    </w:p>
    <w:p w:rsidR="00447DEB" w:rsidRPr="00E3583C" w:rsidRDefault="00447DEB" w:rsidP="00447DEB">
      <w:pPr>
        <w:numPr>
          <w:ilvl w:val="0"/>
          <w:numId w:val="1"/>
        </w:num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DE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Кислород в растворенном виде</w:t>
      </w:r>
    </w:p>
    <w:p w:rsidR="00447DEB" w:rsidRPr="00447DEB" w:rsidRDefault="00447DEB" w:rsidP="00447DEB">
      <w:pPr>
        <w:shd w:val="clear" w:color="auto" w:fill="F5F7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83C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бытовой технической воды подразумевает снижение требований по нормам микробиологических показателей по сравнению с питьевой водой. Такая вода применяется для хозяйственных нужд, но в качестве питьевой может быть использована только после дополнительной процедуры обеззараживания.</w:t>
      </w:r>
    </w:p>
    <w:p w:rsidR="003B3FB1" w:rsidRDefault="003B3FB1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</w:p>
    <w:p w:rsidR="003B3FB1" w:rsidRDefault="003B3FB1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</w:p>
    <w:p w:rsidR="00447DEB" w:rsidRPr="00E3583C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jc w:val="center"/>
        <w:outlineLvl w:val="1"/>
        <w:rPr>
          <w:rFonts w:ascii="Georgia" w:eastAsia="Times New Roman" w:hAnsi="Georgia" w:cs="Times New Roman"/>
          <w:sz w:val="36"/>
          <w:szCs w:val="36"/>
          <w:lang w:eastAsia="ru-RU"/>
        </w:rPr>
      </w:pPr>
      <w:r w:rsidRPr="00E3583C">
        <w:rPr>
          <w:rFonts w:ascii="Georgia" w:eastAsia="Times New Roman" w:hAnsi="Georgia" w:cs="Times New Roman"/>
          <w:sz w:val="36"/>
          <w:szCs w:val="36"/>
          <w:lang w:eastAsia="ru-RU"/>
        </w:rPr>
        <w:lastRenderedPageBreak/>
        <w:t>Показатели технической воды</w:t>
      </w:r>
    </w:p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1 – Минеральный состав вод</w:t>
      </w:r>
    </w:p>
    <w:tbl>
      <w:tblPr>
        <w:tblW w:w="14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3"/>
        <w:gridCol w:w="1471"/>
        <w:gridCol w:w="5692"/>
        <w:gridCol w:w="4213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pH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&lt;</w:t>
            </w: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минерализованность</w:t>
            </w:r>
            <w:proofErr w:type="spellEnd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th=</w:t>
            </w:r>
            <w:proofErr w:type="spellEnd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""&gt;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Сухой остаток, мг/дм</w:t>
            </w: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Сильнокислая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≤ 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Малая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&lt; 200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Слабокислая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4,5 - 6,5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200 - 500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Нейтральная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6,5 - 8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Повышенная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500 - 1000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Слабощелочная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8,0 - 9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1000 - 2000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Сильнощелочная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2000 - 8000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2 – Характеристики водных сред</w:t>
      </w:r>
    </w:p>
    <w:tbl>
      <w:tblPr>
        <w:tblW w:w="14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2995"/>
        <w:gridCol w:w="1952"/>
        <w:gridCol w:w="2949"/>
        <w:gridCol w:w="3707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Характеристика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Жесткость, </w:t>
            </w: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мг-экв</w:t>
            </w:r>
            <w:proofErr w:type="spellEnd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/дм</w:t>
            </w: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Прозрачность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По шрифту </w:t>
            </w: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Снеллена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Содержание взвеси, мг/дм</w:t>
            </w:r>
            <w:proofErr w:type="gram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мягкая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≤ 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Прозрачная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&lt; 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Мягкая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1,5 - 3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Слабомутная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25 - 30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5 - 20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3 - 6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Среднемутная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20 - 25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20 - 50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Жесткая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8 - 10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Мутная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50 - 300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жесткая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мутная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&lt;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300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3 – Окисляемость водных сред</w:t>
      </w:r>
    </w:p>
    <w:tbl>
      <w:tblPr>
        <w:tblW w:w="14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09"/>
        <w:gridCol w:w="5285"/>
        <w:gridCol w:w="3795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Характеристика окисляемости (цветности)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Перманганатная</w:t>
            </w:r>
            <w:proofErr w:type="spellEnd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 окисляемость, мг/дм</w:t>
            </w: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 O</w:t>
            </w: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16"/>
                <w:szCs w:val="16"/>
                <w:vertAlign w:val="subscript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Цветность, град </w:t>
            </w:r>
            <w:proofErr w:type="spell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Pt-Co</w:t>
            </w:r>
            <w:proofErr w:type="spellEnd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 шкалы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малая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≤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≤ 25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Малая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2,5 - 6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25 - 50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6 - 12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50 - 80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12 - 20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80 - 120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Очень 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&gt; 120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4 – Примеси в водных средах</w:t>
      </w:r>
    </w:p>
    <w:tbl>
      <w:tblPr>
        <w:tblW w:w="0" w:type="auto"/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38"/>
        <w:gridCol w:w="7325"/>
        <w:gridCol w:w="1956"/>
        <w:gridCol w:w="2381"/>
      </w:tblGrid>
      <w:tr w:rsidR="00447DEB" w:rsidRPr="00447DEB" w:rsidTr="00447DEB">
        <w:trPr>
          <w:tblHeader/>
        </w:trPr>
        <w:tc>
          <w:tcPr>
            <w:tcW w:w="0" w:type="auto"/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Фазово-дисперсная группа</w:t>
            </w:r>
          </w:p>
        </w:tc>
        <w:tc>
          <w:tcPr>
            <w:tcW w:w="0" w:type="auto"/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Характер примесей</w:t>
            </w:r>
          </w:p>
        </w:tc>
        <w:tc>
          <w:tcPr>
            <w:tcW w:w="0" w:type="auto"/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 xml:space="preserve">Размер частиц, </w:t>
            </w:r>
            <w:proofErr w:type="gramStart"/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см</w:t>
            </w:r>
            <w:proofErr w:type="gramEnd"/>
          </w:p>
        </w:tc>
        <w:tc>
          <w:tcPr>
            <w:tcW w:w="0" w:type="auto"/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Структурные системы</w:t>
            </w:r>
          </w:p>
        </w:tc>
      </w:tr>
      <w:tr w:rsidR="00447DEB" w:rsidRPr="00447DEB" w:rsidTr="00447DEB"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I Взвеси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Суспензии, эмульсии, микроорганизмы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-2</w:t>
            </w: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- 10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-5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Гетерогенные</w:t>
            </w:r>
          </w:p>
        </w:tc>
      </w:tr>
      <w:tr w:rsidR="00447DEB" w:rsidRPr="00447DEB" w:rsidTr="00447DEB"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II Коллоидные растворы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Коллоиды, высокомолекулярные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-5</w:t>
            </w: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- 10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-6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Гетерогенные</w:t>
            </w:r>
          </w:p>
        </w:tc>
      </w:tr>
      <w:tr w:rsidR="00447DEB" w:rsidRPr="00447DEB" w:rsidTr="00447DEB"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III Молекулярные соединения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Газы, растворимые в воде; органические вещества, придающие запах и привкус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-6</w:t>
            </w: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- 10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-7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Гомогенные</w:t>
            </w:r>
          </w:p>
        </w:tc>
      </w:tr>
      <w:tr w:rsidR="00447DEB" w:rsidRPr="00447DEB" w:rsidTr="00447DEB"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lastRenderedPageBreak/>
              <w:t>IV Ионные растворы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Соли, кислоты, основания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-7</w:t>
            </w: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- 10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-8</w:t>
            </w:r>
          </w:p>
        </w:tc>
        <w:tc>
          <w:tcPr>
            <w:tcW w:w="0" w:type="auto"/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Гомогенные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 xml:space="preserve">Таблица 5 - Нормативы по микробиологическим и </w:t>
      </w:r>
      <w:proofErr w:type="spellStart"/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паразитологическим</w:t>
      </w:r>
      <w:proofErr w:type="spellEnd"/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 xml:space="preserve"> показателям</w:t>
      </w:r>
    </w:p>
    <w:tbl>
      <w:tblPr>
        <w:tblW w:w="140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7"/>
        <w:gridCol w:w="6459"/>
        <w:gridCol w:w="1283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Нормативы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Термотолерантные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бактерии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Число бактерий в 100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Отсутствие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Общие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колиформные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бактерии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Число бактерий в 100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Отсутствие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Общее микробное число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Число образующих колонии бактерий в 1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Не более 50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Колифаги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Число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бляшкообразущих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единиц в 100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Отсутствие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Споры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сульфитредуцирующих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Клостридий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Число спор в 20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Отсутствие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Цисты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лямблий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Число цист в 50 см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Отсутствие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6 - Нормативы по обобщающим показателям и вредным химическим веществам, мг/дм</w:t>
      </w:r>
      <w:r w:rsidRPr="00447DEB">
        <w:rPr>
          <w:rFonts w:ascii="Georgia" w:eastAsia="Times New Roman" w:hAnsi="Georgia" w:cs="Times New Roman"/>
          <w:color w:val="404E67"/>
          <w:sz w:val="21"/>
          <w:szCs w:val="21"/>
          <w:vertAlign w:val="superscript"/>
          <w:lang w:eastAsia="ru-RU"/>
        </w:rPr>
        <w:t>3</w:t>
      </w:r>
    </w:p>
    <w:tbl>
      <w:tblPr>
        <w:tblW w:w="14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49"/>
        <w:gridCol w:w="3002"/>
        <w:gridCol w:w="4312"/>
        <w:gridCol w:w="3061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Нормативы (ПДК), не более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Нормативы (ПДК), не более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</w:t>
            </w:r>
          </w:p>
        </w:tc>
      </w:tr>
      <w:tr w:rsidR="00447DEB" w:rsidRPr="00447DEB" w:rsidTr="00447DE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Обобщенные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Мышьяк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As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Реакция среды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6 - 9 ед.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рН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Никель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Ni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0,1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Общая минерализация (сухой остаток)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Нитраты (по N0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bscript"/>
                <w:lang w:eastAsia="ru-RU"/>
              </w:rPr>
              <w:t>3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-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45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Жесткость общая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7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мг-экв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/дм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Ртуть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Hg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0,0005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Окисляемость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5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мг-экв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/дм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Свинец (РЬ, суммарно)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0,03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Нефтепродукты (суммарно)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Селен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Se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0,01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Поверхностно-активные вещества (ПАВ)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Стронций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Sr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 2+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7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Фенольный индекс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Сульфаты (SO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bscript"/>
                <w:lang w:eastAsia="ru-RU"/>
              </w:rPr>
              <w:t>4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2 -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500</w:t>
            </w:r>
          </w:p>
        </w:tc>
      </w:tr>
      <w:tr w:rsidR="00447DEB" w:rsidRPr="00447DEB" w:rsidTr="00447DEB"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Неорганические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Фториды (F) для климатических районов: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</w:p>
        </w:tc>
      </w:tr>
      <w:tr w:rsidR="00447DEB" w:rsidRPr="00447DEB" w:rsidTr="00447DE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I и II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1,5</w:t>
            </w:r>
          </w:p>
        </w:tc>
      </w:tr>
      <w:tr w:rsidR="00447DEB" w:rsidRPr="00447DEB" w:rsidTr="00447DE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1,2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Алюминий (Al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Хлориды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Сl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 -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350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Барий (Ва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2+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Хром (Сr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6+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Бериллий (Ве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2+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Цианиды (CN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 -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0,035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Бор (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В</w:t>
            </w:r>
            <w:proofErr w:type="gram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Цинк (Zn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2+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)</w:t>
            </w:r>
            <w:proofErr w:type="gramEnd"/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5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Железо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Fe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72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Органические вещества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Кадмий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Cd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γ-ГХЦ</w:t>
            </w:r>
            <w:proofErr w:type="gram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Г(</w:t>
            </w:r>
            <w:proofErr w:type="gram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линдан)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lastRenderedPageBreak/>
              <w:t>Марганец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Mn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ДДТ (сумма изомеров)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0,002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Медь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Cu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2,4-Д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0,03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Молибден (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Mo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, суммарно)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</w:t>
            </w:r>
          </w:p>
        </w:tc>
      </w:tr>
    </w:tbl>
    <w:p w:rsidR="00447DEB" w:rsidRPr="00447DEB" w:rsidRDefault="00447DEB" w:rsidP="00447DEB">
      <w:pPr>
        <w:pStyle w:val="a5"/>
        <w:numPr>
          <w:ilvl w:val="0"/>
          <w:numId w:val="1"/>
        </w:numPr>
        <w:shd w:val="clear" w:color="auto" w:fill="F5F7FA"/>
        <w:spacing w:after="100" w:afterAutospacing="1" w:line="240" w:lineRule="auto"/>
        <w:outlineLvl w:val="3"/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</w:pPr>
      <w:r w:rsidRPr="00447DEB">
        <w:rPr>
          <w:rFonts w:ascii="Georgia" w:eastAsia="Times New Roman" w:hAnsi="Georgia" w:cs="Times New Roman"/>
          <w:color w:val="404E67"/>
          <w:sz w:val="24"/>
          <w:szCs w:val="24"/>
          <w:lang w:eastAsia="ru-RU"/>
        </w:rPr>
        <w:t>Таблица 7 - Нормативы по органолептическим показателям</w:t>
      </w:r>
    </w:p>
    <w:tbl>
      <w:tblPr>
        <w:tblW w:w="14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7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2"/>
        <w:gridCol w:w="5578"/>
        <w:gridCol w:w="5859"/>
      </w:tblGrid>
      <w:tr w:rsidR="00447DEB" w:rsidRPr="00447DEB" w:rsidTr="00447DE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noWrap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b/>
                <w:bCs/>
                <w:color w:val="404E67"/>
                <w:sz w:val="21"/>
                <w:szCs w:val="21"/>
                <w:lang w:eastAsia="ru-RU"/>
              </w:rPr>
              <w:t>Нормативы, не более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Запах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Привкус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Баллы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Цветность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Градусы </w:t>
            </w:r>
            <w:proofErr w:type="spellStart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Pt-Co</w:t>
            </w:r>
            <w:proofErr w:type="spellEnd"/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 xml:space="preserve"> шкалы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20</w:t>
            </w:r>
          </w:p>
        </w:tc>
      </w:tr>
      <w:tr w:rsidR="00447DEB" w:rsidRPr="00447DEB" w:rsidTr="00447DE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Мутность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мг/дм</w:t>
            </w:r>
            <w:r w:rsidRPr="00447DEB">
              <w:rPr>
                <w:rFonts w:ascii="Arial" w:eastAsia="Times New Roman" w:hAnsi="Arial" w:cs="Arial"/>
                <w:color w:val="404E67"/>
                <w:sz w:val="16"/>
                <w:szCs w:val="16"/>
                <w:vertAlign w:val="superscript"/>
                <w:lang w:eastAsia="ru-RU"/>
              </w:rPr>
              <w:t>3</w:t>
            </w: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 (по каолину)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7FA"/>
            <w:vAlign w:val="center"/>
            <w:hideMark/>
          </w:tcPr>
          <w:p w:rsidR="00447DEB" w:rsidRPr="00447DEB" w:rsidRDefault="00447DEB" w:rsidP="00447DEB">
            <w:pPr>
              <w:spacing w:after="0" w:line="240" w:lineRule="auto"/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</w:pPr>
            <w:r w:rsidRPr="00447DEB">
              <w:rPr>
                <w:rFonts w:ascii="Arial" w:eastAsia="Times New Roman" w:hAnsi="Arial" w:cs="Arial"/>
                <w:color w:val="404E67"/>
                <w:sz w:val="21"/>
                <w:szCs w:val="21"/>
                <w:lang w:eastAsia="ru-RU"/>
              </w:rPr>
              <w:t>1,5</w:t>
            </w:r>
          </w:p>
        </w:tc>
      </w:tr>
    </w:tbl>
    <w:p w:rsidR="00022F27" w:rsidRDefault="00022F27"/>
    <w:sectPr w:rsidR="00022F27" w:rsidSect="004338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4664"/>
    <w:multiLevelType w:val="multilevel"/>
    <w:tmpl w:val="B71A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7DEB"/>
    <w:rsid w:val="00022F27"/>
    <w:rsid w:val="002F2240"/>
    <w:rsid w:val="003B3FB1"/>
    <w:rsid w:val="00433838"/>
    <w:rsid w:val="00447DEB"/>
    <w:rsid w:val="00662EB4"/>
    <w:rsid w:val="007E138A"/>
    <w:rsid w:val="007E7435"/>
    <w:rsid w:val="00B67D08"/>
    <w:rsid w:val="00DD221A"/>
    <w:rsid w:val="00DD3BE5"/>
    <w:rsid w:val="00E3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27"/>
  </w:style>
  <w:style w:type="paragraph" w:styleId="2">
    <w:name w:val="heading 2"/>
    <w:basedOn w:val="a"/>
    <w:link w:val="20"/>
    <w:uiPriority w:val="9"/>
    <w:qFormat/>
    <w:rsid w:val="00447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47D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7D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7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7D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7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2023-04-04T06:05:00Z</dcterms:created>
  <dcterms:modified xsi:type="dcterms:W3CDTF">2023-04-04T06:10:00Z</dcterms:modified>
</cp:coreProperties>
</file>